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1F1" w:rsidRDefault="00CD11F1" w:rsidP="00CD11F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6</w:t>
      </w:r>
    </w:p>
    <w:p w:rsidR="00CD11F1" w:rsidRPr="00CD11F1" w:rsidRDefault="00CD11F1" w:rsidP="00CD11F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F1">
        <w:rPr>
          <w:rFonts w:ascii="Times New Roman" w:hAnsi="Times New Roman" w:cs="Times New Roman"/>
          <w:b/>
          <w:sz w:val="24"/>
          <w:szCs w:val="24"/>
        </w:rPr>
        <w:t>МЕТОДОЛОГИЧЕСКИЙ АППАРАТ НАУЧНОГО ИССЛЕДОВАНИЯ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D11F1">
        <w:rPr>
          <w:rFonts w:ascii="Times New Roman" w:hAnsi="Times New Roman" w:cs="Times New Roman"/>
          <w:b/>
          <w:sz w:val="24"/>
          <w:szCs w:val="24"/>
        </w:rPr>
        <w:t>МЕТОДИКА ПСИХОЛОГО-ПЕДАГОГИЧЕСКОГО ИССЛЕДОВАНИЯ.</w:t>
      </w:r>
    </w:p>
    <w:p w:rsidR="00CD11F1" w:rsidRPr="00CD11F1" w:rsidRDefault="00CD11F1" w:rsidP="00CD11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11F1">
        <w:rPr>
          <w:rFonts w:ascii="Times New Roman" w:hAnsi="Times New Roman" w:cs="Times New Roman"/>
          <w:sz w:val="24"/>
          <w:szCs w:val="24"/>
        </w:rPr>
        <w:t>В основе любого исследовательского процесса лежат определенные концепции, идеи, теории, методологические принципы, подходы, а также комплекс применяемых методов и методик. Для качественного выполнения работы и оформления полученных результатов необходимо четко представлять себе суть и взаимосвязь таких основных понятий, как методология, метод и методика. Указанный понятийный аппарат приведен на рис. 1.</w:t>
      </w:r>
    </w:p>
    <w:p w:rsidR="00CD11F1" w:rsidRDefault="00CD11F1" w:rsidP="00CD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CD11F1" w:rsidRDefault="00CD11F1" w:rsidP="00CD11F1">
      <w:pPr>
        <w:pStyle w:val="a3"/>
        <w:jc w:val="center"/>
      </w:pPr>
      <w:r>
        <w:rPr>
          <w:noProof/>
        </w:rPr>
        <w:drawing>
          <wp:inline distT="0" distB="0" distL="0" distR="0" wp14:anchorId="221AA604" wp14:editId="735FB214">
            <wp:extent cx="3762375" cy="3848100"/>
            <wp:effectExtent l="0" t="0" r="9525" b="0"/>
            <wp:docPr id="3" name="Рисунок 3" descr="https://sun9-59.userapi.com/impf/c630827/v630827864/11ffe/ij3vOqZhDQo.jpg?size=528x620&amp;quality=96&amp;sign=52a40d69ae23f4f5147db0321dc004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9.userapi.com/impf/c630827/v630827864/11ffe/ij3vOqZhDQo.jpg?size=528x620&amp;quality=96&amp;sign=52a40d69ae23f4f5147db0321dc00490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1F1" w:rsidRPr="00CD11F1" w:rsidRDefault="00CD11F1" w:rsidP="00CD11F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D11F1">
        <w:br/>
      </w:r>
      <w:r w:rsidRPr="00CD11F1">
        <w:br/>
      </w:r>
      <w:r>
        <w:rPr>
          <w:rFonts w:ascii="Times New Roman" w:hAnsi="Times New Roman" w:cs="Times New Roman"/>
          <w:sz w:val="24"/>
        </w:rPr>
        <w:t xml:space="preserve">         </w:t>
      </w:r>
      <w:r w:rsidRPr="00CD11F1">
        <w:rPr>
          <w:rFonts w:ascii="Times New Roman" w:hAnsi="Times New Roman" w:cs="Times New Roman"/>
          <w:sz w:val="24"/>
        </w:rPr>
        <w:t>В широком смысле метод — это способ организации средств (инструментов, приемов, операций и др.) теоретической и практической деятельности.</w:t>
      </w:r>
      <w:r w:rsidRPr="00CD11F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</w:t>
      </w:r>
      <w:r w:rsidRPr="00CD11F1">
        <w:rPr>
          <w:rFonts w:ascii="Times New Roman" w:hAnsi="Times New Roman" w:cs="Times New Roman"/>
          <w:sz w:val="24"/>
        </w:rPr>
        <w:t>Научный метод — это способ организации средств познания (приборов, инструментов, приемов, предметных и теоретических операций и др.) для достижения научной истины, система регулятивных принципов познавательной деятельности. Научный метод рационализирует и оптимизирует научное познание.</w:t>
      </w:r>
      <w:r w:rsidRPr="00CD11F1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</w:t>
      </w:r>
      <w:r w:rsidRPr="00CD11F1">
        <w:rPr>
          <w:rFonts w:ascii="Times New Roman" w:hAnsi="Times New Roman" w:cs="Times New Roman"/>
          <w:sz w:val="24"/>
        </w:rPr>
        <w:t>В научной литературе существует множество различных классификаций методов исследования по различному основанию, например, выделяют, методы научного познания по степени их общности (рис. 2):</w:t>
      </w:r>
    </w:p>
    <w:p w:rsidR="00CD11F1" w:rsidRDefault="00CD11F1" w:rsidP="00CD11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D11F1" w:rsidRDefault="00CD11F1" w:rsidP="00CD11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CD11F1" w:rsidRDefault="00CD11F1" w:rsidP="00CD11F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B2C555" wp14:editId="4E8139A6">
            <wp:extent cx="5448300" cy="1495425"/>
            <wp:effectExtent l="0" t="0" r="0" b="9525"/>
            <wp:docPr id="2" name="Рисунок 2" descr="https://sun9-8.userapi.com/impf/c630827/v630827864/12005/WU9mxHMkmSU.jpg?size=572x357&amp;quality=96&amp;sign=efd587d11adf014910d0105221ecddc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.userapi.com/impf/c630827/v630827864/12005/WU9mxHMkmSU.jpg?size=572x357&amp;quality=96&amp;sign=efd587d11adf014910d0105221ecddc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1F1">
        <w:br/>
      </w:r>
      <w:r w:rsidRPr="00CD11F1">
        <w:br/>
      </w:r>
    </w:p>
    <w:p w:rsidR="00CD11F1" w:rsidRDefault="00CD11F1" w:rsidP="00CD11F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CD11F1">
        <w:rPr>
          <w:rFonts w:ascii="Times New Roman" w:hAnsi="Times New Roman" w:cs="Times New Roman"/>
          <w:sz w:val="24"/>
          <w:szCs w:val="24"/>
        </w:rPr>
        <w:t>1) всеобщие методы: диалектический и метафизический, т.е. это общефилософские методы.</w:t>
      </w:r>
      <w:r w:rsidRPr="00CD11F1">
        <w:rPr>
          <w:rFonts w:ascii="Times New Roman" w:hAnsi="Times New Roman" w:cs="Times New Roman"/>
          <w:sz w:val="24"/>
          <w:szCs w:val="24"/>
        </w:rPr>
        <w:br/>
        <w:t xml:space="preserve">         2) общенаучные методы: эмпирические и теоретические; используются в самых различных областях науки, т. е. имеют весьма широкий междисциплинарный спектр применения.</w:t>
      </w:r>
      <w:r w:rsidRPr="00CD11F1">
        <w:rPr>
          <w:rFonts w:ascii="Times New Roman" w:hAnsi="Times New Roman" w:cs="Times New Roman"/>
          <w:sz w:val="24"/>
          <w:szCs w:val="24"/>
        </w:rPr>
        <w:br/>
        <w:t xml:space="preserve">         3) </w:t>
      </w:r>
      <w:proofErr w:type="spellStart"/>
      <w:r w:rsidRPr="00CD11F1">
        <w:rPr>
          <w:rFonts w:ascii="Times New Roman" w:hAnsi="Times New Roman" w:cs="Times New Roman"/>
          <w:sz w:val="24"/>
          <w:szCs w:val="24"/>
        </w:rPr>
        <w:t>частнонаучные</w:t>
      </w:r>
      <w:proofErr w:type="spellEnd"/>
      <w:r w:rsidRPr="00CD11F1">
        <w:rPr>
          <w:rFonts w:ascii="Times New Roman" w:hAnsi="Times New Roman" w:cs="Times New Roman"/>
          <w:sz w:val="24"/>
          <w:szCs w:val="24"/>
        </w:rPr>
        <w:t xml:space="preserve"> (специальные) методы: используются только в рамках исследований какой-то конкретной науки или какого-то конкретного явления. Каждая частная наука (биология, химия, геология и т. д.) имеет свои специфические методы исследования. Но такие методы, как правило, содержат в различных сочетаниях те или иные общенаучные методы познания – могут присутствовать наблюдения, измерения, индуктивные или дедуктивные умозаключения и т. д. Таким образом, </w:t>
      </w:r>
      <w:proofErr w:type="spellStart"/>
      <w:r w:rsidRPr="00CD11F1">
        <w:rPr>
          <w:rFonts w:ascii="Times New Roman" w:hAnsi="Times New Roman" w:cs="Times New Roman"/>
          <w:sz w:val="24"/>
          <w:szCs w:val="24"/>
        </w:rPr>
        <w:t>частнонаучные</w:t>
      </w:r>
      <w:proofErr w:type="spellEnd"/>
      <w:r w:rsidRPr="00CD11F1">
        <w:rPr>
          <w:rFonts w:ascii="Times New Roman" w:hAnsi="Times New Roman" w:cs="Times New Roman"/>
          <w:sz w:val="24"/>
          <w:szCs w:val="24"/>
        </w:rPr>
        <w:t xml:space="preserve"> методы тесно связаны с общенаучными и включают в себя специфическое применение общенаучных познавательных приемов для изучения конкретной области объективного мира.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Другая классификация:</w:t>
      </w:r>
      <w:r w:rsidRPr="00CD11F1">
        <w:rPr>
          <w:rFonts w:ascii="Times New Roman" w:hAnsi="Times New Roman" w:cs="Times New Roman"/>
          <w:b/>
          <w:sz w:val="24"/>
          <w:szCs w:val="24"/>
        </w:rPr>
        <w:br/>
      </w:r>
      <w:r w:rsidRPr="00CD11F1">
        <w:rPr>
          <w:rFonts w:ascii="Times New Roman" w:hAnsi="Times New Roman" w:cs="Times New Roman"/>
          <w:sz w:val="24"/>
          <w:szCs w:val="24"/>
        </w:rPr>
        <w:t>— экспериментальные методы,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методы обработки эмпирических данных,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методы построения научных теорий и их проверки,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методы изложения научных результатов;</w:t>
      </w:r>
      <w:r w:rsidRPr="00CD11F1">
        <w:rPr>
          <w:rFonts w:ascii="Times New Roman" w:hAnsi="Times New Roman" w:cs="Times New Roman"/>
          <w:sz w:val="24"/>
          <w:szCs w:val="24"/>
        </w:rPr>
        <w:br/>
        <w:t>— всеобщие (философские),</w:t>
      </w:r>
      <w:r w:rsidRPr="00CD11F1">
        <w:rPr>
          <w:rFonts w:ascii="Times New Roman" w:hAnsi="Times New Roman" w:cs="Times New Roman"/>
          <w:sz w:val="24"/>
          <w:szCs w:val="24"/>
        </w:rPr>
        <w:br/>
        <w:t>— общенаучные и специальные (конкретно-научные) методы;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методы качественного и количественного изучения реальности.</w:t>
      </w:r>
      <w:r w:rsidRPr="00CD11F1">
        <w:rPr>
          <w:rFonts w:ascii="Times New Roman" w:hAnsi="Times New Roman" w:cs="Times New Roman"/>
          <w:sz w:val="24"/>
          <w:szCs w:val="24"/>
        </w:rPr>
        <w:br/>
        <w:t>В научном познании выделяют:</w:t>
      </w:r>
      <w:r w:rsidRPr="00CD11F1">
        <w:rPr>
          <w:rFonts w:ascii="Times New Roman" w:hAnsi="Times New Roman" w:cs="Times New Roman"/>
          <w:sz w:val="24"/>
          <w:szCs w:val="24"/>
        </w:rPr>
        <w:br/>
        <w:t>— эмпирические и</w:t>
      </w:r>
      <w:r w:rsidRPr="00CD11F1">
        <w:rPr>
          <w:rFonts w:ascii="Times New Roman" w:hAnsi="Times New Roman" w:cs="Times New Roman"/>
          <w:sz w:val="24"/>
          <w:szCs w:val="24"/>
        </w:rPr>
        <w:br/>
        <w:t>— теоретические исследования.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Эмпирическое исследование</w:t>
      </w:r>
      <w:r w:rsidRPr="00CD11F1">
        <w:rPr>
          <w:rFonts w:ascii="Times New Roman" w:hAnsi="Times New Roman" w:cs="Times New Roman"/>
          <w:sz w:val="24"/>
          <w:szCs w:val="24"/>
        </w:rPr>
        <w:t xml:space="preserve"> направлено непосредственно на реальный объект исследования и опирается на данные наблюдения и эксперимента. В его задачи входит сбор, накопление и первичная обработка данных опыта, фиксация фактов, внешних общих признаков исследуемых объектов.</w:t>
      </w:r>
      <w:r w:rsidRPr="00CD11F1">
        <w:rPr>
          <w:rFonts w:ascii="Times New Roman" w:hAnsi="Times New Roman" w:cs="Times New Roman"/>
          <w:sz w:val="24"/>
          <w:szCs w:val="24"/>
        </w:rPr>
        <w:br/>
        <w:t>В теоретическом исследовании центральное место занимает деятельность, связанная с совершенствованием и развитием понятийного аппарата науки, работа с различными концепциями и моделями.</w:t>
      </w:r>
      <w:r w:rsidRPr="00CD11F1">
        <w:rPr>
          <w:rFonts w:ascii="Times New Roman" w:hAnsi="Times New Roman" w:cs="Times New Roman"/>
          <w:sz w:val="24"/>
          <w:szCs w:val="24"/>
        </w:rPr>
        <w:br/>
        <w:t>Оба этих вида исследования взаимосвязаны и предполагают друг друга в целостной структуре научного познания.</w:t>
      </w:r>
      <w:r w:rsidRPr="00CD11F1">
        <w:rPr>
          <w:rFonts w:ascii="Times New Roman" w:hAnsi="Times New Roman" w:cs="Times New Roman"/>
          <w:sz w:val="24"/>
          <w:szCs w:val="24"/>
        </w:rPr>
        <w:br/>
        <w:t>В соответствии с видом научно-познавательной деятельности общенаучные методы обычно делят на три группы: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методы эмпирического исследования,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методы теоретического исследования,</w:t>
      </w:r>
      <w:r w:rsidRPr="00CD11F1">
        <w:rPr>
          <w:rFonts w:ascii="Times New Roman" w:hAnsi="Times New Roman" w:cs="Times New Roman"/>
          <w:sz w:val="24"/>
          <w:szCs w:val="24"/>
        </w:rPr>
        <w:br/>
        <w:t xml:space="preserve">— методы, используемые как в эмпирическом, так и в теоретическом исследовании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1F1" w:rsidRDefault="00CD11F1" w:rsidP="00CD11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11F1" w:rsidRDefault="00CD11F1" w:rsidP="00CD11F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11F1">
        <w:rPr>
          <w:rFonts w:ascii="Times New Roman" w:hAnsi="Times New Roman" w:cs="Times New Roman"/>
          <w:b/>
          <w:sz w:val="24"/>
          <w:szCs w:val="24"/>
        </w:rPr>
        <w:lastRenderedPageBreak/>
        <w:t>Краткий обзор общенаучных методов исследования</w:t>
      </w:r>
      <w:r w:rsidRPr="00CD11F1">
        <w:rPr>
          <w:rFonts w:ascii="Times New Roman" w:hAnsi="Times New Roman" w:cs="Times New Roman"/>
          <w:sz w:val="24"/>
          <w:szCs w:val="24"/>
        </w:rPr>
        <w:br/>
        <w:t>Наблюдение — это метод научного познания, опирающийся на работу органов чувств человека и его предметную материальную деятельность. Под наблюдением за исследуемыми объектами понимается сбор данных посредством регистрации событий, действий, а также их предварительное описание. При использовании наблюдения получают информацию о свойствах и отношениях исследуемых объектов. Наблюдение применяется, когда вмешательство в естественное течение процесса не допустимо.</w:t>
      </w:r>
      <w:r w:rsidRPr="00CD11F1">
        <w:rPr>
          <w:rFonts w:ascii="Times New Roman" w:hAnsi="Times New Roman" w:cs="Times New Roman"/>
          <w:sz w:val="24"/>
          <w:szCs w:val="24"/>
        </w:rPr>
        <w:br/>
        <w:t>Сравнение — это установление сходства и различия предметов и явлений действительности. При этом должно выполняться два основных требования: сравниваться должны только те предметы и явления, между которыми может существовать определенная объективная общность, сравнение должно осуществляться по наиболее важным, существенным признакам.</w:t>
      </w:r>
      <w:r w:rsidRPr="00CD11F1">
        <w:rPr>
          <w:rFonts w:ascii="Times New Roman" w:hAnsi="Times New Roman" w:cs="Times New Roman"/>
          <w:sz w:val="24"/>
          <w:szCs w:val="24"/>
        </w:rPr>
        <w:br/>
        <w:t>Измерение — это процедура определения численного значения некоторой величины путем её сравнения с эталоном.</w:t>
      </w:r>
      <w:r w:rsidRPr="00CD11F1">
        <w:rPr>
          <w:rFonts w:ascii="Times New Roman" w:hAnsi="Times New Roman" w:cs="Times New Roman"/>
          <w:sz w:val="24"/>
          <w:szCs w:val="24"/>
        </w:rPr>
        <w:br/>
        <w:t>Эксперимент представляет собой процесс изучения объекта (явления) в специально созданных, управляемых условиях и позволяющий наблюдать, сравнивать и измерять его свойства, устанавливать их зависимость от внешних воздействий.</w:t>
      </w:r>
      <w:r w:rsidRPr="00CD11F1">
        <w:rPr>
          <w:rFonts w:ascii="Times New Roman" w:hAnsi="Times New Roman" w:cs="Times New Roman"/>
          <w:sz w:val="24"/>
          <w:szCs w:val="24"/>
        </w:rPr>
        <w:br/>
        <w:t>Восхождение от абстрактного к конкретному — согласно данному методу мышление восходит от конкретного в действительности к абстрактному в мышлении и от него - к конкретному в мышлении. В этом случае процесс познания разбивается на два этапа: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— на первом этапе</w:t>
      </w:r>
      <w:r w:rsidRPr="00CD11F1">
        <w:rPr>
          <w:rFonts w:ascii="Times New Roman" w:hAnsi="Times New Roman" w:cs="Times New Roman"/>
          <w:sz w:val="24"/>
          <w:szCs w:val="24"/>
        </w:rPr>
        <w:t xml:space="preserve"> происходит переход от чувственно-конкретного, от конкретного в действительности к абстрактным определениям. Единый объект разделяется, описывается при помощи суждений и понятий, превращается в совокупность зафиксированных мышлением абстракций.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— второй этап</w:t>
      </w:r>
      <w:r w:rsidRPr="00CD11F1">
        <w:rPr>
          <w:rFonts w:ascii="Times New Roman" w:hAnsi="Times New Roman" w:cs="Times New Roman"/>
          <w:sz w:val="24"/>
          <w:szCs w:val="24"/>
        </w:rPr>
        <w:t xml:space="preserve"> — это восхождение от абстрактного к конкретному. Происходит переход от абстрактных определений объекта к конкретному в познании и мышлении. Исходная целостность объекта восстанавливается во всей многогранности, но уже в мышлении.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Идеализация</w:t>
      </w:r>
      <w:r w:rsidRPr="00CD11F1">
        <w:rPr>
          <w:rFonts w:ascii="Times New Roman" w:hAnsi="Times New Roman" w:cs="Times New Roman"/>
          <w:sz w:val="24"/>
          <w:szCs w:val="24"/>
        </w:rPr>
        <w:t xml:space="preserve"> — это мысленное конструирование идеальных объектов, которые не существуют в действительности.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Формализация</w:t>
      </w:r>
      <w:r w:rsidRPr="00CD11F1">
        <w:rPr>
          <w:rFonts w:ascii="Times New Roman" w:hAnsi="Times New Roman" w:cs="Times New Roman"/>
          <w:sz w:val="24"/>
          <w:szCs w:val="24"/>
        </w:rPr>
        <w:t xml:space="preserve"> — метод изучения разнообразных объектов путем отображения их содержания и структуры в знаковой форме какого-либо искусственного языка.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 xml:space="preserve">Аксиоматический метод </w:t>
      </w:r>
      <w:r w:rsidRPr="00CD11F1">
        <w:rPr>
          <w:rFonts w:ascii="Times New Roman" w:hAnsi="Times New Roman" w:cs="Times New Roman"/>
          <w:sz w:val="24"/>
          <w:szCs w:val="24"/>
        </w:rPr>
        <w:t>— способ построения научной теории, при котором ряд утверждений принимается без доказательства, а все остальное знание выводится из них по определенным логическим правилам.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 xml:space="preserve">Абстрагирование </w:t>
      </w:r>
      <w:r w:rsidRPr="00CD11F1">
        <w:rPr>
          <w:rFonts w:ascii="Times New Roman" w:hAnsi="Times New Roman" w:cs="Times New Roman"/>
          <w:sz w:val="24"/>
          <w:szCs w:val="24"/>
        </w:rPr>
        <w:t>состоит в мысленном отвлечении от несущественных связей, свойств, отношений и выделении сторон предметов, явлений, интересующих исследователя.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CD11F1">
        <w:rPr>
          <w:rFonts w:ascii="Times New Roman" w:hAnsi="Times New Roman" w:cs="Times New Roman"/>
          <w:sz w:val="24"/>
          <w:szCs w:val="24"/>
        </w:rPr>
        <w:t xml:space="preserve"> представляет собой разложение целого на составные части, т.е. выделение признаков предмета для изучения их в отдельности как части единого целого.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Синтез</w:t>
      </w:r>
      <w:r w:rsidRPr="00CD11F1">
        <w:rPr>
          <w:rFonts w:ascii="Times New Roman" w:hAnsi="Times New Roman" w:cs="Times New Roman"/>
          <w:sz w:val="24"/>
          <w:szCs w:val="24"/>
        </w:rPr>
        <w:t xml:space="preserve"> — метод научного познания, который состоит в объединении отдельных частей предмета в единое целое.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Анализ и синтез</w:t>
      </w:r>
      <w:r w:rsidRPr="00CD11F1">
        <w:rPr>
          <w:rFonts w:ascii="Times New Roman" w:hAnsi="Times New Roman" w:cs="Times New Roman"/>
          <w:sz w:val="24"/>
          <w:szCs w:val="24"/>
        </w:rPr>
        <w:t xml:space="preserve"> представляют собой единство противоположностей.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Аналогия</w:t>
      </w:r>
      <w:r w:rsidRPr="00CD11F1">
        <w:rPr>
          <w:rFonts w:ascii="Times New Roman" w:hAnsi="Times New Roman" w:cs="Times New Roman"/>
          <w:sz w:val="24"/>
          <w:szCs w:val="24"/>
        </w:rPr>
        <w:t xml:space="preserve"> является методом научного познания, в котором знание о предметах и явлениях приобретается на основании того, что они имеют сходства с другими.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 xml:space="preserve">Индукция </w:t>
      </w:r>
      <w:r w:rsidRPr="00CD11F1">
        <w:rPr>
          <w:rFonts w:ascii="Times New Roman" w:hAnsi="Times New Roman" w:cs="Times New Roman"/>
          <w:sz w:val="24"/>
          <w:szCs w:val="24"/>
        </w:rPr>
        <w:t>— умозаключение от частного к общему, когда на основании знания об отдельных предметах класса формулируется общий вывод о классе в целом.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Дедукция</w:t>
      </w:r>
      <w:r w:rsidRPr="00CD11F1">
        <w:rPr>
          <w:rFonts w:ascii="Times New Roman" w:hAnsi="Times New Roman" w:cs="Times New Roman"/>
          <w:sz w:val="24"/>
          <w:szCs w:val="24"/>
        </w:rPr>
        <w:t xml:space="preserve"> — умозаключение от общего к частному, когда вывод о некотором элементе множества делается на основании знания общих свойств всего множества.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Моделирование</w:t>
      </w:r>
      <w:r w:rsidRPr="00CD11F1">
        <w:rPr>
          <w:rFonts w:ascii="Times New Roman" w:hAnsi="Times New Roman" w:cs="Times New Roman"/>
          <w:sz w:val="24"/>
          <w:szCs w:val="24"/>
        </w:rPr>
        <w:t xml:space="preserve"> — исследование объектов познания на их моделях. Модель должна соответствовать объекту познания в изучаемых свойствах, но может отличаться по ряду некоторых признаков, что обуславливает удобство модели при исследовании изучаемого признака или объекта. Моделирование может быть предметным, физическим, знаковым, математическим, логическим и др. В силу многозначности понятия "модель" в науке и </w:t>
      </w:r>
      <w:r w:rsidRPr="00CD11F1">
        <w:rPr>
          <w:rFonts w:ascii="Times New Roman" w:hAnsi="Times New Roman" w:cs="Times New Roman"/>
          <w:sz w:val="24"/>
          <w:szCs w:val="24"/>
        </w:rPr>
        <w:lastRenderedPageBreak/>
        <w:t>технике существуют различные подходы к классификации видов моделирования:</w:t>
      </w:r>
      <w:r w:rsidRPr="00CD11F1">
        <w:rPr>
          <w:rFonts w:ascii="Times New Roman" w:hAnsi="Times New Roman" w:cs="Times New Roman"/>
          <w:sz w:val="24"/>
          <w:szCs w:val="24"/>
        </w:rPr>
        <w:br/>
        <w:t>— имитационное моделирование,</w:t>
      </w:r>
      <w:r w:rsidRPr="00CD11F1">
        <w:rPr>
          <w:rFonts w:ascii="Times New Roman" w:hAnsi="Times New Roman" w:cs="Times New Roman"/>
          <w:sz w:val="24"/>
          <w:szCs w:val="24"/>
        </w:rPr>
        <w:br/>
        <w:t>— моделирование бизнес-процессов,</w:t>
      </w:r>
      <w:r w:rsidRPr="00CD11F1">
        <w:rPr>
          <w:rFonts w:ascii="Times New Roman" w:hAnsi="Times New Roman" w:cs="Times New Roman"/>
          <w:sz w:val="24"/>
          <w:szCs w:val="24"/>
        </w:rPr>
        <w:br/>
        <w:t>— математическое моделирование,</w:t>
      </w:r>
      <w:r w:rsidRPr="00CD11F1">
        <w:rPr>
          <w:rFonts w:ascii="Times New Roman" w:hAnsi="Times New Roman" w:cs="Times New Roman"/>
          <w:sz w:val="24"/>
          <w:szCs w:val="24"/>
        </w:rPr>
        <w:br/>
        <w:t>— статистическое моделирование,</w:t>
      </w:r>
      <w:r w:rsidRPr="00CD11F1">
        <w:rPr>
          <w:rFonts w:ascii="Times New Roman" w:hAnsi="Times New Roman" w:cs="Times New Roman"/>
          <w:sz w:val="24"/>
          <w:szCs w:val="24"/>
        </w:rPr>
        <w:br/>
        <w:t>— экономико-математическое моделирование.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Обобщение</w:t>
      </w:r>
      <w:r w:rsidRPr="00CD11F1">
        <w:rPr>
          <w:rFonts w:ascii="Times New Roman" w:hAnsi="Times New Roman" w:cs="Times New Roman"/>
          <w:sz w:val="24"/>
          <w:szCs w:val="24"/>
        </w:rPr>
        <w:t xml:space="preserve"> — определение общего понятия, в котором находит отражение основное, характеризующее объекты данного класса.</w:t>
      </w:r>
      <w:r w:rsidRPr="00CD11F1">
        <w:rPr>
          <w:rFonts w:ascii="Times New Roman" w:hAnsi="Times New Roman" w:cs="Times New Roman"/>
          <w:sz w:val="24"/>
          <w:szCs w:val="24"/>
        </w:rPr>
        <w:br/>
        <w:t>В исследованиях, выполняемых в учебном процессе, широко используются как общенаучные методы исследования, адаптированные к конкретному исследованию, так и специальные методы, которые определяются характером предмета исследования, поставленными целью и задачами.</w:t>
      </w:r>
      <w:r w:rsidRPr="00CD11F1">
        <w:rPr>
          <w:rFonts w:ascii="Times New Roman" w:hAnsi="Times New Roman" w:cs="Times New Roman"/>
          <w:sz w:val="24"/>
          <w:szCs w:val="24"/>
        </w:rPr>
        <w:br/>
        <w:t>Например, в работах, связанных с обоснованием выбора наиболее подходящих ИТ-решений для информационной системы предприятия наряду с общенаучными методами (кабинетное исследование, анализ и синтез, обобщение, классификация, сравнение, формализация, моделирование) применяются такие специальные методы исследования, как: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методы многоцелевого анализа;</w:t>
      </w:r>
      <w:r w:rsidRPr="00CD11F1">
        <w:rPr>
          <w:rFonts w:ascii="Times New Roman" w:hAnsi="Times New Roman" w:cs="Times New Roman"/>
          <w:sz w:val="24"/>
          <w:szCs w:val="24"/>
        </w:rPr>
        <w:br/>
        <w:t xml:space="preserve">— метод </w:t>
      </w:r>
      <w:proofErr w:type="spellStart"/>
      <w:r w:rsidRPr="00CD11F1">
        <w:rPr>
          <w:rFonts w:ascii="Times New Roman" w:hAnsi="Times New Roman" w:cs="Times New Roman"/>
          <w:sz w:val="24"/>
          <w:szCs w:val="24"/>
        </w:rPr>
        <w:t>полуматриц</w:t>
      </w:r>
      <w:proofErr w:type="spellEnd"/>
      <w:r w:rsidRPr="00CD11F1">
        <w:rPr>
          <w:rFonts w:ascii="Times New Roman" w:hAnsi="Times New Roman" w:cs="Times New Roman"/>
          <w:sz w:val="24"/>
          <w:szCs w:val="24"/>
        </w:rPr>
        <w:t>;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 анализа иерархий;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 дерева решений;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 экспертных оценок;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методы оценки затрат ИТ-проектов;</w:t>
      </w:r>
      <w:r w:rsidRPr="00CD11F1">
        <w:rPr>
          <w:rFonts w:ascii="Times New Roman" w:hAnsi="Times New Roman" w:cs="Times New Roman"/>
          <w:sz w:val="24"/>
          <w:szCs w:val="24"/>
        </w:rPr>
        <w:br/>
        <w:t>— методы оценки рисков.</w:t>
      </w:r>
      <w:r w:rsidRPr="00CD11F1">
        <w:rPr>
          <w:rFonts w:ascii="Times New Roman" w:hAnsi="Times New Roman" w:cs="Times New Roman"/>
          <w:sz w:val="24"/>
          <w:szCs w:val="24"/>
        </w:rPr>
        <w:br/>
        <w:t>В совокупности использованные методы исследования обуславливают достоверность анализа и выводов, полученных в выполненной работе.</w:t>
      </w:r>
      <w:r w:rsidRPr="00CD11F1">
        <w:rPr>
          <w:rFonts w:ascii="Times New Roman" w:hAnsi="Times New Roman" w:cs="Times New Roman"/>
          <w:sz w:val="24"/>
          <w:szCs w:val="24"/>
        </w:rPr>
        <w:br/>
      </w:r>
      <w:r w:rsidRPr="00CD11F1">
        <w:rPr>
          <w:rFonts w:ascii="Times New Roman" w:hAnsi="Times New Roman" w:cs="Times New Roman"/>
          <w:b/>
          <w:sz w:val="24"/>
          <w:szCs w:val="24"/>
        </w:rPr>
        <w:t>Источник:</w:t>
      </w:r>
      <w:r w:rsidRPr="00CD11F1">
        <w:rPr>
          <w:rFonts w:ascii="Times New Roman" w:hAnsi="Times New Roman" w:cs="Times New Roman"/>
          <w:sz w:val="24"/>
          <w:szCs w:val="24"/>
        </w:rPr>
        <w:t> </w:t>
      </w:r>
    </w:p>
    <w:p w:rsidR="00CD11F1" w:rsidRPr="00CD11F1" w:rsidRDefault="00CD11F1" w:rsidP="00CD11F1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tgtFrame="_blank" w:tooltip="http://www.intuit.ru/studies/courses/11980/1160/lecture/18284?page=5" w:history="1">
        <w:r w:rsidRPr="00CD11F1">
          <w:rPr>
            <w:rFonts w:ascii="Times New Roman" w:hAnsi="Times New Roman" w:cs="Times New Roman"/>
            <w:sz w:val="24"/>
            <w:szCs w:val="24"/>
          </w:rPr>
          <w:t>http://www.intuit.ru/studies/courses/11980/1160/lectu.</w:t>
        </w:r>
      </w:hyperlink>
      <w:r w:rsidRPr="00CD11F1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CD11F1">
          <w:rPr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CD11F1">
          <w:rPr>
            <w:rFonts w:ascii="Times New Roman" w:hAnsi="Times New Roman" w:cs="Times New Roman"/>
            <w:sz w:val="24"/>
            <w:szCs w:val="24"/>
          </w:rPr>
          <w:t>методики@faculty_of_psy</w:t>
        </w:r>
        <w:proofErr w:type="spellEnd"/>
      </w:hyperlink>
      <w:r w:rsidRPr="00CD11F1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CD11F1">
          <w:rPr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CD11F1">
          <w:rPr>
            <w:rFonts w:ascii="Times New Roman" w:hAnsi="Times New Roman" w:cs="Times New Roman"/>
            <w:sz w:val="24"/>
            <w:szCs w:val="24"/>
          </w:rPr>
          <w:t>методология@faculty_of_psy</w:t>
        </w:r>
        <w:proofErr w:type="spellEnd"/>
      </w:hyperlink>
      <w:r w:rsidRPr="00CD11F1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Pr="00CD11F1">
          <w:rPr>
            <w:rFonts w:ascii="Times New Roman" w:hAnsi="Times New Roman" w:cs="Times New Roman"/>
            <w:sz w:val="24"/>
            <w:szCs w:val="24"/>
          </w:rPr>
          <w:t>#</w:t>
        </w:r>
        <w:proofErr w:type="spellStart"/>
        <w:r w:rsidRPr="00CD11F1">
          <w:rPr>
            <w:rFonts w:ascii="Times New Roman" w:hAnsi="Times New Roman" w:cs="Times New Roman"/>
            <w:sz w:val="24"/>
            <w:szCs w:val="24"/>
          </w:rPr>
          <w:t>методы_психологии@faculty_of_psy</w:t>
        </w:r>
        <w:proofErr w:type="spellEnd"/>
      </w:hyperlink>
    </w:p>
    <w:p w:rsidR="00CD11F1" w:rsidRPr="00CD11F1" w:rsidRDefault="00CD11F1" w:rsidP="00CD11F1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DE78C8" w:rsidRPr="00CD11F1" w:rsidRDefault="00DE78C8" w:rsidP="00DE78C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1F1">
        <w:rPr>
          <w:rFonts w:ascii="Times New Roman" w:hAnsi="Times New Roman" w:cs="Times New Roman"/>
          <w:b/>
          <w:sz w:val="24"/>
          <w:szCs w:val="24"/>
        </w:rPr>
        <w:t>Методика психолого-педагогического исследования.</w:t>
      </w:r>
    </w:p>
    <w:p w:rsidR="00DE78C8" w:rsidRPr="00DE78C8" w:rsidRDefault="00DE78C8" w:rsidP="00DE78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8C8">
        <w:rPr>
          <w:rFonts w:ascii="Times New Roman" w:hAnsi="Times New Roman" w:cs="Times New Roman"/>
          <w:sz w:val="24"/>
          <w:szCs w:val="24"/>
        </w:rPr>
        <w:t>План:</w:t>
      </w:r>
      <w:r w:rsidRPr="00DE78C8">
        <w:rPr>
          <w:rFonts w:ascii="Times New Roman" w:hAnsi="Times New Roman" w:cs="Times New Roman"/>
          <w:sz w:val="24"/>
          <w:szCs w:val="24"/>
        </w:rPr>
        <w:br/>
        <w:t>1. Выбор темы исследования и библиографический поиск литературных источников.</w:t>
      </w:r>
      <w:r w:rsidRPr="00DE78C8">
        <w:rPr>
          <w:rFonts w:ascii="Times New Roman" w:hAnsi="Times New Roman" w:cs="Times New Roman"/>
          <w:sz w:val="24"/>
          <w:szCs w:val="24"/>
        </w:rPr>
        <w:br/>
        <w:t>2. Построение методологического аппарата исследования.</w:t>
      </w:r>
      <w:r w:rsidRPr="00DE78C8">
        <w:rPr>
          <w:rFonts w:ascii="Times New Roman" w:hAnsi="Times New Roman" w:cs="Times New Roman"/>
          <w:sz w:val="24"/>
          <w:szCs w:val="24"/>
        </w:rPr>
        <w:br/>
        <w:t>3. Примеры построения методологического аппарата исследования.</w:t>
      </w:r>
      <w:r w:rsidRPr="00DE78C8">
        <w:rPr>
          <w:rFonts w:ascii="Times New Roman" w:hAnsi="Times New Roman" w:cs="Times New Roman"/>
          <w:sz w:val="24"/>
          <w:szCs w:val="24"/>
        </w:rPr>
        <w:br/>
        <w:t>1. Выбор темы исследования и библиографический поиск литературных источников.</w:t>
      </w:r>
      <w:r w:rsidRPr="00DE78C8">
        <w:rPr>
          <w:rFonts w:ascii="Times New Roman" w:hAnsi="Times New Roman" w:cs="Times New Roman"/>
          <w:sz w:val="24"/>
          <w:szCs w:val="24"/>
        </w:rPr>
        <w:br/>
        <w:t>Тема исследования – это материал, отобранный и организованный в соответствии с задачами исследования. При выборе темы целесообразно брать задачу сравнительно узкого плана с тем, чтобы можно было ее глубоко проработать.</w:t>
      </w:r>
      <w:r w:rsidRPr="00DE78C8">
        <w:rPr>
          <w:rFonts w:ascii="Times New Roman" w:hAnsi="Times New Roman" w:cs="Times New Roman"/>
          <w:sz w:val="24"/>
          <w:szCs w:val="24"/>
        </w:rPr>
        <w:br/>
        <w:t>Показателем содержательного охвата темы служит количество слов в ее названии. Чем меньше слов в названии темы, тем она шире, охватывает более широкую область научного знания.</w:t>
      </w:r>
      <w:r w:rsidRPr="00DE78C8">
        <w:rPr>
          <w:rFonts w:ascii="Times New Roman" w:hAnsi="Times New Roman" w:cs="Times New Roman"/>
          <w:sz w:val="24"/>
          <w:szCs w:val="24"/>
        </w:rPr>
        <w:br/>
        <w:t>Чтобы приступить к выполнению определенного этапа исследовательской деятельности необходимо знать основные пути к литературным источникам, как находить их в библиотечных фондах, уметь выделять в них нужную информацию и правильно ее обрабатывать. Для этого необходимо иметь представление о видах чтения:</w:t>
      </w:r>
      <w:r w:rsidRPr="00DE78C8">
        <w:rPr>
          <w:rFonts w:ascii="Times New Roman" w:hAnsi="Times New Roman" w:cs="Times New Roman"/>
          <w:sz w:val="24"/>
          <w:szCs w:val="24"/>
        </w:rPr>
        <w:br/>
        <w:t>1. Библиографическое – поиск источников по библиографическим описаниям.</w:t>
      </w:r>
      <w:r w:rsidRPr="00DE78C8">
        <w:rPr>
          <w:rFonts w:ascii="Times New Roman" w:hAnsi="Times New Roman" w:cs="Times New Roman"/>
          <w:sz w:val="24"/>
          <w:szCs w:val="24"/>
        </w:rPr>
        <w:br/>
        <w:t>2. Просмотровое – установление, какие источники будут использованы в дальнейшей работе.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3. Ознакомительное – знакомство с характером информации в целом, сортировка на более </w:t>
      </w:r>
      <w:r w:rsidRPr="00DE78C8">
        <w:rPr>
          <w:rFonts w:ascii="Times New Roman" w:hAnsi="Times New Roman" w:cs="Times New Roman"/>
          <w:sz w:val="24"/>
          <w:szCs w:val="24"/>
        </w:rPr>
        <w:lastRenderedPageBreak/>
        <w:t>или менее существенный.</w:t>
      </w:r>
      <w:r w:rsidRPr="00DE78C8">
        <w:rPr>
          <w:rFonts w:ascii="Times New Roman" w:hAnsi="Times New Roman" w:cs="Times New Roman"/>
          <w:sz w:val="24"/>
          <w:szCs w:val="24"/>
        </w:rPr>
        <w:br/>
        <w:t>4. Изучающее – освоение материала, отобранного в ходе ознакомления с ним.</w:t>
      </w:r>
      <w:r w:rsidRPr="00DE78C8">
        <w:rPr>
          <w:rFonts w:ascii="Times New Roman" w:hAnsi="Times New Roman" w:cs="Times New Roman"/>
          <w:sz w:val="24"/>
          <w:szCs w:val="24"/>
        </w:rPr>
        <w:br/>
        <w:t>5. Аналитико-критическое – критический анализ информации.</w:t>
      </w:r>
      <w:r w:rsidRPr="00DE78C8">
        <w:rPr>
          <w:rFonts w:ascii="Times New Roman" w:hAnsi="Times New Roman" w:cs="Times New Roman"/>
          <w:sz w:val="24"/>
          <w:szCs w:val="24"/>
        </w:rPr>
        <w:br/>
        <w:t>6. Творческое – поиск фактов и суждений, по которым высказываются собственные мысли.</w:t>
      </w:r>
      <w:r w:rsidRPr="00DE78C8">
        <w:rPr>
          <w:rFonts w:ascii="Times New Roman" w:hAnsi="Times New Roman" w:cs="Times New Roman"/>
          <w:sz w:val="24"/>
          <w:szCs w:val="24"/>
        </w:rPr>
        <w:br/>
        <w:t>Библиографический список - составляет одну из существенных частей исследования, отражающей самостоятельную творческую работу ее автора.</w:t>
      </w:r>
      <w:r w:rsidRPr="00DE78C8">
        <w:rPr>
          <w:rFonts w:ascii="Times New Roman" w:hAnsi="Times New Roman" w:cs="Times New Roman"/>
          <w:sz w:val="24"/>
          <w:szCs w:val="24"/>
        </w:rPr>
        <w:br/>
        <w:t>Библиографический список помещается после заключения и содержит библиографические описания использованных источников, сделанных с учетом стандартов, которые определяют способы сокращения слов и словосочетаний (Приложение 1).</w:t>
      </w:r>
      <w:r w:rsidRPr="00DE78C8">
        <w:rPr>
          <w:rFonts w:ascii="Times New Roman" w:hAnsi="Times New Roman" w:cs="Times New Roman"/>
          <w:sz w:val="24"/>
          <w:szCs w:val="24"/>
        </w:rPr>
        <w:br/>
        <w:t>2. Методологический аппарат исследования.</w:t>
      </w:r>
      <w:r w:rsidRPr="00DE78C8">
        <w:rPr>
          <w:rFonts w:ascii="Times New Roman" w:hAnsi="Times New Roman" w:cs="Times New Roman"/>
          <w:sz w:val="24"/>
          <w:szCs w:val="24"/>
        </w:rPr>
        <w:br/>
        <w:t>Методологический аппарат исследования помещается во введении и состоит из разделов, которые содержат сведения о том, как обоснована актуальность выбранной темы, как сформулирована проблема, объект и предмет исследования, какие задачи оно решило, как убедительно сформулирована новизна и значимость полученных результатов, что конкретно выносится на защиту и т.д., т.е. такой аппарат состоит из частей, которые при сопоставлении со сделанными выводами позволяют составить первое общее впечатление от проделанной работы и оценить уровень научной компетентности ее автора. Таким образом, все это дает основание сделать вывод, что методологический аппарат является одним из наиболее важных элементов исследования, которому следует уделять особо серьезное внимание.</w:t>
      </w:r>
      <w:r w:rsidRPr="00DE78C8">
        <w:rPr>
          <w:rFonts w:ascii="Times New Roman" w:hAnsi="Times New Roman" w:cs="Times New Roman"/>
          <w:sz w:val="24"/>
          <w:szCs w:val="24"/>
        </w:rPr>
        <w:br/>
        <w:t>Любое научное исследование начинается с обоснования актуальности его темы. Под актуальностью исследования понимается степень его важности в данный момент для решения данной проблемы, задачи или вопроса. Важность предпринимаемого исследования заключается в обосновании положительного эффекта, который может быть достигнут в результате решения выдвинутой научной или практической задачи.</w:t>
      </w:r>
      <w:r w:rsidRPr="00DE78C8">
        <w:rPr>
          <w:rFonts w:ascii="Times New Roman" w:hAnsi="Times New Roman" w:cs="Times New Roman"/>
          <w:sz w:val="24"/>
          <w:szCs w:val="24"/>
        </w:rPr>
        <w:br/>
        <w:t>Актуальность обычно состоит из показа задач, стоящих перед исследователем, в аспекте выбранного направления научных изысканий. Это также то, что сделано в данном направлении предшественниками и что ими осталось нерешенным. На этом фоне формируется противоречие, понимаемое чаще всего как несогласованность, несоответствие между какими-либо выявленными противоположностями внутри единого объекта. Выявленное противоречие может иметь место как в теории, так и в практике.</w:t>
      </w:r>
      <w:r w:rsidRPr="00DE78C8">
        <w:rPr>
          <w:rFonts w:ascii="Times New Roman" w:hAnsi="Times New Roman" w:cs="Times New Roman"/>
          <w:sz w:val="24"/>
          <w:szCs w:val="24"/>
        </w:rPr>
        <w:br/>
        <w:t>Формулируют противоречие, например, так: «Без знания… сейчас невозможно… В то же время… до сих пор не разработаны…», «Таким образом, имеет место противоречие между необходимостью применения… подхода и отсутствием методик выявления…» и т.п.</w:t>
      </w:r>
      <w:r w:rsidRPr="00DE78C8">
        <w:rPr>
          <w:rFonts w:ascii="Times New Roman" w:hAnsi="Times New Roman" w:cs="Times New Roman"/>
          <w:sz w:val="24"/>
          <w:szCs w:val="24"/>
        </w:rPr>
        <w:br/>
        <w:t>На основании выявленного противоречия формируется проблема. Правильная постановка и ясная формулировка новых проблем имеют важное значение. Они если не целиком, то в очень большой степени определяют стратегию исследования вообще и направление научного поиска в особенности. Не случайно принято считать, что сформулировать научную проблему – значит показать умение отделить главное от второстепенного, выяснить то, что уже известно и что пока неизвестно науке о предмете исследования.</w:t>
      </w:r>
      <w:r w:rsidRPr="00DE78C8">
        <w:rPr>
          <w:rFonts w:ascii="Times New Roman" w:hAnsi="Times New Roman" w:cs="Times New Roman"/>
          <w:sz w:val="24"/>
          <w:szCs w:val="24"/>
        </w:rPr>
        <w:br/>
        <w:t>Вслед за проблемой исследования определяется его объект и предмет.</w:t>
      </w:r>
      <w:r w:rsidRPr="00DE78C8">
        <w:rPr>
          <w:rFonts w:ascii="Times New Roman" w:hAnsi="Times New Roman" w:cs="Times New Roman"/>
          <w:sz w:val="24"/>
          <w:szCs w:val="24"/>
        </w:rPr>
        <w:br/>
        <w:t>Объект исследования – это процесс или явление, порождающее проблемную ситуацию и избранное для изучения. Это та часть практики или научного знания (если исследование теоретическое), с которой исследователь имеет дело. Объект должен всегда находиться в области данной науки или процесса и не выходить за их пределы.</w:t>
      </w:r>
      <w:r w:rsidRPr="00DE78C8">
        <w:rPr>
          <w:rFonts w:ascii="Times New Roman" w:hAnsi="Times New Roman" w:cs="Times New Roman"/>
          <w:sz w:val="24"/>
          <w:szCs w:val="24"/>
        </w:rPr>
        <w:br/>
        <w:t>После объекта формулируется предмет исследования, под которым понимается то, что находится в границах объекта.</w:t>
      </w:r>
      <w:r w:rsidRPr="00DE78C8">
        <w:rPr>
          <w:rFonts w:ascii="Times New Roman" w:hAnsi="Times New Roman" w:cs="Times New Roman"/>
          <w:sz w:val="24"/>
          <w:szCs w:val="24"/>
        </w:rPr>
        <w:br/>
        <w:t>При формулировании предмета исследования следует знать, что он должен совпадать с темой исследования или по звучанию быть очень близок к ней.</w:t>
      </w:r>
      <w:r w:rsidRPr="00DE78C8">
        <w:rPr>
          <w:rFonts w:ascii="Times New Roman" w:hAnsi="Times New Roman" w:cs="Times New Roman"/>
          <w:sz w:val="24"/>
          <w:szCs w:val="24"/>
        </w:rPr>
        <w:br/>
        <w:t>На основе сформулированной проблемы, определения объекта и предмета исследования устанавливается его цель. Цель исследования – научный результат, который должен быть получен в конечном итоге всего исследования.</w:t>
      </w:r>
      <w:r w:rsidRPr="00DE78C8">
        <w:rPr>
          <w:rFonts w:ascii="Times New Roman" w:hAnsi="Times New Roman" w:cs="Times New Roman"/>
          <w:sz w:val="24"/>
          <w:szCs w:val="24"/>
        </w:rPr>
        <w:br/>
      </w:r>
      <w:r w:rsidRPr="00DE78C8">
        <w:rPr>
          <w:rFonts w:ascii="Times New Roman" w:hAnsi="Times New Roman" w:cs="Times New Roman"/>
          <w:sz w:val="24"/>
          <w:szCs w:val="24"/>
        </w:rPr>
        <w:lastRenderedPageBreak/>
        <w:t>Формулировки цели исследования обычно начинаются словами «разработать методику (модель, критерии, требования)», «обосновать что-либо», «выявить что-либо», «охарактеризовать», «проанализировать и обобщить опыт» и т.д.</w:t>
      </w:r>
      <w:r w:rsidRPr="00DE78C8">
        <w:rPr>
          <w:rFonts w:ascii="Times New Roman" w:hAnsi="Times New Roman" w:cs="Times New Roman"/>
          <w:sz w:val="24"/>
          <w:szCs w:val="24"/>
        </w:rPr>
        <w:br/>
        <w:t>После формулирования объекта, предмета и цели строится гипотеза, которая направлена на то, чтобы доказать реальное существование предполагаемого.</w:t>
      </w:r>
      <w:r w:rsidRPr="00DE78C8">
        <w:rPr>
          <w:rFonts w:ascii="Times New Roman" w:hAnsi="Times New Roman" w:cs="Times New Roman"/>
          <w:sz w:val="24"/>
          <w:szCs w:val="24"/>
        </w:rPr>
        <w:br/>
        <w:t>В своем развитии гипотеза проходит три стадии:</w:t>
      </w:r>
      <w:r w:rsidRPr="00DE78C8">
        <w:rPr>
          <w:rFonts w:ascii="Times New Roman" w:hAnsi="Times New Roman" w:cs="Times New Roman"/>
          <w:sz w:val="24"/>
          <w:szCs w:val="24"/>
        </w:rPr>
        <w:br/>
        <w:t>1. Накопление фактического материала и высказывание на его основе предположения.</w:t>
      </w:r>
      <w:r w:rsidRPr="00DE78C8">
        <w:rPr>
          <w:rFonts w:ascii="Times New Roman" w:hAnsi="Times New Roman" w:cs="Times New Roman"/>
          <w:sz w:val="24"/>
          <w:szCs w:val="24"/>
        </w:rPr>
        <w:br/>
        <w:t>2. Формирование гипотезы - выведение следствий из сделанного предположения.</w:t>
      </w:r>
      <w:r w:rsidRPr="00DE78C8">
        <w:rPr>
          <w:rFonts w:ascii="Times New Roman" w:hAnsi="Times New Roman" w:cs="Times New Roman"/>
          <w:sz w:val="24"/>
          <w:szCs w:val="24"/>
        </w:rPr>
        <w:br/>
        <w:t>3. Проверка полученных выводов на практике и уточнение гипотезы на основе результатов такой проверки.</w:t>
      </w:r>
      <w:r w:rsidRPr="00DE78C8">
        <w:rPr>
          <w:rFonts w:ascii="Times New Roman" w:hAnsi="Times New Roman" w:cs="Times New Roman"/>
          <w:sz w:val="24"/>
          <w:szCs w:val="24"/>
        </w:rPr>
        <w:br/>
        <w:t>Сформулированная цель и гипотеза исследования логически определяют его задачи, которые чаще всего выступают как частные, сравнительно самостоятельные цели в конкретных условиях проверки сформулированной гипотезы.</w:t>
      </w:r>
      <w:r w:rsidRPr="00DE78C8">
        <w:rPr>
          <w:rFonts w:ascii="Times New Roman" w:hAnsi="Times New Roman" w:cs="Times New Roman"/>
          <w:sz w:val="24"/>
          <w:szCs w:val="24"/>
        </w:rPr>
        <w:br/>
        <w:t>Задачи исследования логически вытекают из его общей цели и рассматриваются как основные этапы работы исследователя. Формулировки задач делаются в форме перечисления: 1) изучить…, 2) выявить…, 3) разработать…, 4) экспериментально проверить…» и т.д.</w:t>
      </w:r>
      <w:r w:rsidRPr="00DE78C8">
        <w:rPr>
          <w:rFonts w:ascii="Times New Roman" w:hAnsi="Times New Roman" w:cs="Times New Roman"/>
          <w:sz w:val="24"/>
          <w:szCs w:val="24"/>
        </w:rPr>
        <w:br/>
        <w:t>Перечисление задач исследования может определяться как временной последовательностью его ведения, так и логической последовательностью, которая обусловлена внутренней логикой исследовательского процесса.</w:t>
      </w:r>
      <w:r w:rsidRPr="00DE78C8">
        <w:rPr>
          <w:rFonts w:ascii="Times New Roman" w:hAnsi="Times New Roman" w:cs="Times New Roman"/>
          <w:sz w:val="24"/>
          <w:szCs w:val="24"/>
        </w:rPr>
        <w:br/>
        <w:t>Любое исследование предполагает раскрытие его методологических основ и используемых методов.</w:t>
      </w:r>
      <w:r w:rsidRPr="00DE78C8">
        <w:rPr>
          <w:rFonts w:ascii="Times New Roman" w:hAnsi="Times New Roman" w:cs="Times New Roman"/>
          <w:sz w:val="24"/>
          <w:szCs w:val="24"/>
        </w:rPr>
        <w:br/>
        <w:t>Под методологическими основами исследования обычно понимают те концепции и теории, которые легли в его основу. Методологические основы исследования формулируются примерно так: «исследование опиралось на концепцию…», «методологической базой исследования послужили работы…», «методологической основой исследования является…» и т.п.</w:t>
      </w:r>
      <w:r w:rsidRPr="00DE78C8">
        <w:rPr>
          <w:rFonts w:ascii="Times New Roman" w:hAnsi="Times New Roman" w:cs="Times New Roman"/>
          <w:sz w:val="24"/>
          <w:szCs w:val="24"/>
        </w:rPr>
        <w:br/>
        <w:t>Указывать методологическую базу проведенного исследования следует обязательно, т.к. этот раздел аппарата исследования показывает уровень их методологической подготовки.</w:t>
      </w:r>
      <w:r w:rsidRPr="00DE78C8">
        <w:rPr>
          <w:rFonts w:ascii="Times New Roman" w:hAnsi="Times New Roman" w:cs="Times New Roman"/>
          <w:sz w:val="24"/>
          <w:szCs w:val="24"/>
        </w:rPr>
        <w:br/>
        <w:t>Необходимость указывать методологические основы проводимого исследования продиктована и чисто этическими соображениями. Каждый исследователь всегда опирается на своих предшественников, а не работает сам по себе.</w:t>
      </w:r>
      <w:r w:rsidRPr="00DE78C8">
        <w:rPr>
          <w:rFonts w:ascii="Times New Roman" w:hAnsi="Times New Roman" w:cs="Times New Roman"/>
          <w:sz w:val="24"/>
          <w:szCs w:val="24"/>
        </w:rPr>
        <w:br/>
        <w:t>Раздел «На защиту выносится» дает ответ, что является предметом защиты. Этот раздел строится по-разному: «На защиту выносятся положения о том-то, о том-то и о том-то». В таком варианте этот раздел чаще всего формируется в чисто «теоретических» работах. В этом случае фактически формулируются основные выводы исследования, выраженные в форме некоторой совокупности трех-пяти определенных утверждений.</w:t>
      </w:r>
      <w:r w:rsidRPr="00DE78C8">
        <w:rPr>
          <w:rFonts w:ascii="Times New Roman" w:hAnsi="Times New Roman" w:cs="Times New Roman"/>
          <w:sz w:val="24"/>
          <w:szCs w:val="24"/>
        </w:rPr>
        <w:br/>
        <w:t>Более предпочтителен в этом разделе другой вариант, когда на защиту выносятся принципы, требования, обоснования, условия осуществления или содержание чего-либо, модель, схема, методологические приемы, средства осуществления, критерии, эффективность и т.п. В этом варианте данный раздел позволит полностью раскрыть все, что удалось сделать, подав это наиболее наглядно.</w:t>
      </w:r>
      <w:r w:rsidRPr="00DE78C8">
        <w:rPr>
          <w:rFonts w:ascii="Times New Roman" w:hAnsi="Times New Roman" w:cs="Times New Roman"/>
          <w:sz w:val="24"/>
          <w:szCs w:val="24"/>
        </w:rPr>
        <w:br/>
        <w:t>Раздел «Научная новизна» чаще всего делается в формулировках: «разработаны, раскрыты, обоснованы, определены, установлены».</w:t>
      </w:r>
      <w:r w:rsidRPr="00DE78C8">
        <w:rPr>
          <w:rFonts w:ascii="Times New Roman" w:hAnsi="Times New Roman" w:cs="Times New Roman"/>
          <w:sz w:val="24"/>
          <w:szCs w:val="24"/>
        </w:rPr>
        <w:br/>
        <w:t>В разделе «Теоретическая значимость» определяется значение теоретических аспектов проблемы исследования.</w:t>
      </w:r>
      <w:r w:rsidRPr="00DE78C8">
        <w:rPr>
          <w:rFonts w:ascii="Times New Roman" w:hAnsi="Times New Roman" w:cs="Times New Roman"/>
          <w:sz w:val="24"/>
          <w:szCs w:val="24"/>
        </w:rPr>
        <w:br/>
        <w:t>Раздел «Практическая значимость» проявляется в публикациях основных результатов исследования в научной печати, в апробации результатов исследования на научно-практических конференциях, в использовании научных разработок в учебно-воспитательном процессе учреждений разного типа и т.д.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Для уточнения методологического аппарата проведенного исследования в процессе написания введения полезен методический прием, который предлагает профессор А.М. </w:t>
      </w:r>
      <w:r w:rsidRPr="00DE78C8">
        <w:rPr>
          <w:rFonts w:ascii="Times New Roman" w:hAnsi="Times New Roman" w:cs="Times New Roman"/>
          <w:sz w:val="24"/>
          <w:szCs w:val="24"/>
        </w:rPr>
        <w:lastRenderedPageBreak/>
        <w:t>Новиков: Необходимо взять большой лист бумаги и разбить его на столбцы. В каждом столбце напечатать или наклеить: тему исследования, готовый текст каждого раздела «аппарата», отдельным столбцом – названия глав и параграфов, и отдельно столбец – «выводы исследования» (когда они уже сформулированы) и тщательно сопоставить эти формулировки.</w:t>
      </w:r>
      <w:r w:rsidRPr="00DE78C8">
        <w:rPr>
          <w:rFonts w:ascii="Times New Roman" w:hAnsi="Times New Roman" w:cs="Times New Roman"/>
          <w:sz w:val="24"/>
          <w:szCs w:val="24"/>
        </w:rPr>
        <w:br/>
        <w:t>Например, «гипотеза исследования» проверяется, как она соответствует теме, сформулированным противоречию, проблеме, объекту, предмету, цели, задачам и т.д., вплоть до выводов. И так каждый столбец тщательно сопоставляется со всеми остальными. При этом, разделы «На защиту выносятся», «Новизна исследования» и «Выводы» могут быть содержательно несколько полнее гипотезы и задач, насыщаться какими-то конкретностями, не нарушая общей логики работы. Но обратного явления быть не должно: то, что содержится, например, в гипотезе, не может не быть отражено в выводах».</w:t>
      </w:r>
      <w:r w:rsidRPr="00DE78C8">
        <w:rPr>
          <w:rFonts w:ascii="Times New Roman" w:hAnsi="Times New Roman" w:cs="Times New Roman"/>
          <w:sz w:val="24"/>
          <w:szCs w:val="24"/>
        </w:rPr>
        <w:br/>
        <w:t>3. Примеры построения методологического аппарата исследования.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Тема исследования: Игровое пространство дошкольного учреждения как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среда (О. А. Тимченко)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Актуальность исследования. Актуальность проблемы здоровья детей обусловлена тенденциями развития российского образования, связанными с созданием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здоровьетворящих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технологий; статистическими данными системы здравоохранения, фиксирующими состояние здоровья детей. Снижение уровня здоровья детей дошкольного возраста, по данным Министерства здравоохранения, обусловлено не только генетическими параметрами, но и состоянием среды обучения, развития и воспитания ребенка.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В медицинских исследованиях отмечаются данные о влиянии образовательной среды на здоровье детей (М. В. Антропова, М. М. Безруких, С. М.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Громбах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>, Д. И. Зелинская, Ю. П. Лисицын, М. Т. Матюшонок, В. А. Пискунов, А. Г. Хрипкова и др.).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Анализ педагогических исследований позволил выявить различные факторы, влияющие на состояние здоровья детей: благосостояние общества, существующая система содержания и организации образования, педагогические условия, ориентированные на укрепление здоровья, низкий уровень культуры здорового образа жизни детей (Н. А. Ананьева, В. Ф. Базарный, Е. В.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В. П. Озеров, В. П.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>, Г. М. Соловьев и др.).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Здоровье выступает основой жизнедеятельности человека, представляет собой сложный многоуровневый феномен, включающий в себя физиологический, психический, социальный и педагогический компоненты. По мнению И. И.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Брехмана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формирование у человека индивидуального способа здорового образа жизни с раннего детства является приоритетной задачей педагогической науки. ВОЗ определяет здоровье как состояние полного физического, психического и социального благополучия, которое, на наш взгляд, зависит от компетентностей педагога проектировать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среду дошкольного учреждения адекватную детскому возрасту и состоянию здоровья ребенка.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Введение в педагогическую науку понятия «здоровье ребенка» становится общепризнанной ценностью и обеспечивает развитие педагогических исследований на поиск оптимальных условий воспитания у ребенка ценностного отношения к здоровью и проектированию условий его сохранения. Данные вопросы стали предметом изучения в работах В. И.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Бондина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Колбанова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Н. К. Смирнова, А. Г. Сухарева, Л. Ф.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Трохимчук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Трушкина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и др. Авторы исследований предлагают различные пути сбережения здоровья детей в образовательном учреждении – физическое воспитание (В. И.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Бондин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А. Г.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Ю. А. Янсон и др.),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валеологизация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образовательной среды и учебного процесса (Т. И. Бабенко, А. Г.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Дрижика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Г. К. Зайцев, В. П. Казначеев, Г. А. Кураев, С. К. Сергеев, Н. К. Смирнов, Ю. В.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Шленов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и др.), двигательная активность (Л. В.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Абдульманова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О. Г.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Бериев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Б. Б. Егоров, Н. Т. Лебедева и др.), система мониторинга состояния здоровья (Н. А. Ананьева, Г. А. Ямпольская и др.), индивидуальный подход к ребенку (И. А. Аршавский, Т. Г. Ивошина и др.),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образовательного процесса (М. Н.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и др.), проектирование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(М. М. Безруких, Д. Г.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Далчия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Е. А. </w:t>
      </w:r>
      <w:r w:rsidRPr="00DE78C8">
        <w:rPr>
          <w:rFonts w:ascii="Times New Roman" w:hAnsi="Times New Roman" w:cs="Times New Roman"/>
          <w:sz w:val="24"/>
          <w:szCs w:val="24"/>
        </w:rPr>
        <w:lastRenderedPageBreak/>
        <w:t xml:space="preserve">Каменская, Н. Н. Макаров, Р. М.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И. С.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>, Е. А. Ямбург и др.).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Национальный проект «Образование» одним из направлений определяет создание безопасной 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жизни обучения, воспитания и развития ребенка. Быть здоровым становится престижным в обществе, поскольку позволяет человеку в полной степени реализовать свои возможности (физические, интеллектуальные, нравственные, духовные). На данном этапе развития общества актуализируется проблема дошкольного образования и его возможности в социальном, культурном, физическом, нравственном оздоровлении детей. Среди представленных в педагогических исследованиях условий сбережения здоровья ребенка дошкольного возраста особое внимание уделяется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среде (И. А. Аршавский, Э. Н.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Антонелене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В. А. Петровский, В. Д. Семенов, Р. Б.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Р. М.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Чумичева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и др.).</w:t>
      </w:r>
      <w:r w:rsidRPr="00DE78C8">
        <w:rPr>
          <w:rFonts w:ascii="Times New Roman" w:hAnsi="Times New Roman" w:cs="Times New Roman"/>
          <w:sz w:val="24"/>
          <w:szCs w:val="24"/>
        </w:rPr>
        <w:br/>
        <w:t>Однако в исследованиях недостаточно разработана проблема проектирования игрового пространства как среды сбережения здоровья ребенка. В дошкольном образовании игра является ведущим видом деятельности и создает особую среду, где ребенок может реализовать свои интересы, потребности, мотивы. Именно игровая среда является одним из важных условий, стимулирующих ребенка к активным действиям, эмоциональным проявлениям, установлению многообразных связей с окружающим миром.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Игра определяется общепризнанным феноменом в развитии личности ребенка (Л. С. Выготский, Л. И.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А. В. Запорожец, Ю. Ф.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В. Т. Кудрявцев, А. Н. Леонтьев, Т. И. Осокина, М. М.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Силакова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и др.). Наличие многообразных парадигм образования – личностно-ориентированной,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культуросообразной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пространственной, системно-синергетической и др., - актуализирует вопрос о проектировании игровой среды как условия сбережения здоровья дошкольников, создающей оптимальные и соответствующие ребенку дошкольного возраста возможности для самореализации. Анализ существующих в системе дошкольного образования программ обучения, воспитания и развития ребенка показал, что далеко не все программы в полной мере раскрывают содержание, технологии и среду сбережения здоровья детей, недостаточно эффективно используются возможности организационно-структурных форм и условий сбережения здоровья детей, а научно-методическое обеспечение процесса развития ребенка не предусматривает основы проектирования образовательного процесса как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среды.</w:t>
      </w:r>
      <w:r w:rsidRPr="00DE78C8">
        <w:rPr>
          <w:rFonts w:ascii="Times New Roman" w:hAnsi="Times New Roman" w:cs="Times New Roman"/>
          <w:sz w:val="24"/>
          <w:szCs w:val="24"/>
        </w:rPr>
        <w:br/>
        <w:t>Анализ исследований по вышеуказанным проблемам, а также изучение реального состояния образовательной среды дошкольного учреждения, позволили выявить существенные противоречия между:</w:t>
      </w:r>
      <w:r w:rsidRPr="00DE78C8">
        <w:rPr>
          <w:rFonts w:ascii="Times New Roman" w:hAnsi="Times New Roman" w:cs="Times New Roman"/>
          <w:sz w:val="24"/>
          <w:szCs w:val="24"/>
        </w:rPr>
        <w:br/>
        <w:t>- необходимостью решения проблем сбережения здоровья ребенка как национальной ценности и недостаточной научно теоретической и практической разработанностью вопросов сбережения здоровья ребенка в игровой среде дошкольного учреждения;</w:t>
      </w:r>
      <w:r w:rsidRPr="00DE78C8">
        <w:rPr>
          <w:rFonts w:ascii="Times New Roman" w:hAnsi="Times New Roman" w:cs="Times New Roman"/>
          <w:sz w:val="24"/>
          <w:szCs w:val="24"/>
        </w:rPr>
        <w:br/>
        <w:t>- современным состоянием системы дошкольного образования и уровнем компетентности специалистов в вопросах проектирования игровой среды сбережения здоровья ребенка;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технологиями, обеспечивающими формы организации игровой деятельности, и ее потенциальными возможностями, как показателя субкультуры детства и органичным средством сбережения здоровья ребенка.</w:t>
      </w:r>
      <w:r w:rsidRPr="00DE78C8">
        <w:rPr>
          <w:rFonts w:ascii="Times New Roman" w:hAnsi="Times New Roman" w:cs="Times New Roman"/>
          <w:sz w:val="24"/>
          <w:szCs w:val="24"/>
        </w:rPr>
        <w:br/>
        <w:t>На основании выявленных противоречий была определена проблема исследования: каковы педагогические условия дошкольного образовательного учреждения как игровой среды сбережения здоровья ребенка.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Цель исследования - разработка и апробация педагогических условий игрового пространства как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дошкольного образовательного учреждения.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Предмет исследования – игровое пространство как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среда дошкольного образовательного учреждения.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Объект исследования - образовательное пространство дошкольного учреждения как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среда.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В соответствии с целью, объектом, предметом и гипотезой обозначены следующие задачи </w:t>
      </w:r>
      <w:r w:rsidRPr="00DE78C8">
        <w:rPr>
          <w:rFonts w:ascii="Times New Roman" w:hAnsi="Times New Roman" w:cs="Times New Roman"/>
          <w:sz w:val="24"/>
          <w:szCs w:val="24"/>
        </w:rPr>
        <w:lastRenderedPageBreak/>
        <w:t>исследования: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1. Теоретически обосновать возможности подвижной игры как субкультуры детства, создающей игровое пространство как среду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ребенка.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2. Выявить состояние практики дошкольных образовательных учреждений в использовании потенциала подвижной игры как среды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ребенка.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3. Разработать и апробировать игровую модель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дошкольного образовательного учреждения.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Гипотеза исследования состоит в том, что игровая модель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дошкольного образовательного учреждения обеспечивает эффективные условия развития субъектно-поведенческого опыта ребенка в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самосбережении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 при условиях, если: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проектирование модели ориентировано на принципы сохранения жизни и здоровья ребенка, нравственной доминанты подвижной игры и активной позиции ребенка в накоплении способов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>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среда ориентирована на развитие компетенций ребенка, его эмоционально-оценочного отношения к здоровью, субъектно-поведенческого опыта детей в подвижных играх;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подвижная игра определяется как субкультура детства, активное средство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 ребенка и интегрирована в различные виды жизнедеятельности дошкольников;</w:t>
      </w:r>
      <w:r w:rsidRPr="00DE78C8">
        <w:rPr>
          <w:rFonts w:ascii="Times New Roman" w:hAnsi="Times New Roman" w:cs="Times New Roman"/>
          <w:sz w:val="24"/>
          <w:szCs w:val="24"/>
        </w:rPr>
        <w:br/>
        <w:t>- ребенок старшего дошкольного возраста осознает здоровье как высшую ценность жизни человека и проявит активную потребность в его сбережении;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результаты диагностики уровня развития ребенка и состояния его здоровья являются основой для проектирования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в содержание программ физического развития детей интегрированы правила, регулирующие двигательную активность и социальные отношения детей, предупреждающие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травмаопасные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ситуации и действия, угрожающие здоровью детей;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методы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ориентированы на накопление ребенком способов и опыта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 в активной двигательной среде.</w:t>
      </w:r>
      <w:r w:rsidRPr="00DE78C8">
        <w:rPr>
          <w:rFonts w:ascii="Times New Roman" w:hAnsi="Times New Roman" w:cs="Times New Roman"/>
          <w:sz w:val="24"/>
          <w:szCs w:val="24"/>
        </w:rPr>
        <w:br/>
        <w:t>Методологическую основу исследования составили: гуманистический и аксиологический подходы, определившие человека высшей ценностью общества и системы образования; культурологический подход, в рамках которого здоровье определяется ценностью личности, а его сбережение – целью образования; теоретические концепции, позволяющие определить здоровье как интегративный феномен, сочетающий единство духовного, психического и телесного в структуре человека; концепция формирования личности в онтогенезе; теория преемственности между биологическим и социальным в развитии человека; концепция отечественной и зарубежной психологии и педагогики о сущности игры как субкультуре детства.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Теоретическую основу исследования составили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образования (Ш А.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М. Н.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Берулава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Караковский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И. Б. Котова, Е. Н.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Шиянов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Е. А. Ямбург и др.); личностно-ориентированный подход к образованию (Н. А. Алексеев, Е. В.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Б. Т. Лихачев, В. В. Сериков, И. С.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Якиманская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и др.); концепции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в образовании (И. А. Аршавский, И. И.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Брехман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Л. И. Губарева, И. В. Кузнецова, Ю. П. Лисицын, Н. А. Медведева, В. Н. Муравьева, В. В. Петенко, Г. М. Соловьев и др.); теоретические положения о подвижной игре как приоритетном средстве развития личности дошкольника и укреплении его здоровья (Л. С. Выготский, Л. И.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Божович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А. В. Запорожец, А. В.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В. Т. Кудрявцев, А. Н. Леонтьев, Т. И. Осокина, Д. Б.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и др.); исследования по проблемам формирования здорового образа жизни детей в условиях дошкольного образовательного учреждения (Л. В.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Абдульманова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Б. Б. Егоров, Ю. Ф.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Змановский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>, Н. Н. Ефименко и др.)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Для достижения поставленных целей использовались следующие методы исследования: научно-теоретический анализ литературы по исследуемой проблеме;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праксиметрический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метод(изучение документов); статистические методы (методы измерения и обработки </w:t>
      </w:r>
      <w:r w:rsidRPr="00DE78C8">
        <w:rPr>
          <w:rFonts w:ascii="Times New Roman" w:hAnsi="Times New Roman" w:cs="Times New Roman"/>
          <w:sz w:val="24"/>
          <w:szCs w:val="24"/>
        </w:rPr>
        <w:lastRenderedPageBreak/>
        <w:t>экспериментальных данных, их системный анализ, графическая интерпретация); экспериментальные (констатирующий, формирующий, контрольный эксперимент); синтез и обобщение, способствующие подведению промежуточных и общих итогов исследования; моделирование педагогического процесса; беседа, интервьюирование, анкетирование, педагогическое наблюдение.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Опытно-экспериментальной базой исследования являлись муниципальные дошкольные образовательные учреждения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г.Ростова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-на-Дону № № 117, 150, 279; Ростовской области в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г.Батайске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№ 52,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г.Азове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№ 7; Краснодарский край,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г.Сочи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гимназия № 44. Участниками эксперимента явились 270 детей старшего дошкольного возраста.</w:t>
      </w:r>
      <w:r w:rsidRPr="00DE78C8">
        <w:rPr>
          <w:rFonts w:ascii="Times New Roman" w:hAnsi="Times New Roman" w:cs="Times New Roman"/>
          <w:sz w:val="24"/>
          <w:szCs w:val="24"/>
        </w:rPr>
        <w:br/>
        <w:t>Научная новизна и теоретическая значимость исследования состоит в том, что: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в контексте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культуросообразной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модели образования теоретически обоснованы возможности подвижной игры как субкультуры детства и активной среды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ребенка;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научно обоснована игровая модель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дошкольного образовательного учреждения;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-разработаны принципы проектирования игровой модели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дошкольного образовательного учреждения (приоритета игровых интересов ребенка в субкультуре детства, самосохранения 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личностью здоровья, педагогической поддержки индивидуальной траектории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>, интеграции ценностей здоровья и правил игры в содержание дошкольного образования и др.);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определено понятие «игровая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среда», представляющая собой активно-двигательное, социально-игровое сообщество детей, объединенных игровыми правилами, действиями, стимулирующими двигательную активность детей, требующую от ребенка координации движений, самостоятельности в принятии решений и оптимальном выборе способов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 определены принципы отбора подвижных игр как активного средства развития субъектно-поведенческого опыта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 дошкольников (ценностно-смысловой и нравственной направленности, повышенной двигательной активности, интеграции,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здоровьесохранения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>).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Практическая значимость исследования заключается в том, что разработанная и апробированная игровая модель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дошкольного образовательного учреждения подтвердила свою эффективность; обозначенные пути интеграции подвижной игры в различные виды жизнедеятельности ребенка и педагогические методы развития у детей старшего дошкольного возраста субъектно-поведенческого опыта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 в подвижных играх, которые могут быть широко внедрены в практику дошкольных учреждений; разработанная игровая технология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ребенка и адекватная детской субкультуре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среда дошкольного учреждения, повышают эффективность процесса развития ребенка и определяют перспективы развития дошкольного образования. Созданная программа «Здоровый ребенок» может быть использована в практической работе дошкольных учреждений.</w:t>
      </w:r>
      <w:r w:rsidRPr="00DE78C8">
        <w:rPr>
          <w:rFonts w:ascii="Times New Roman" w:hAnsi="Times New Roman" w:cs="Times New Roman"/>
          <w:sz w:val="24"/>
          <w:szCs w:val="24"/>
        </w:rPr>
        <w:br/>
        <w:t>Положения, выносимые на защиту: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1. Понятие «игровая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среда», представляющая собой активно-двигательное, социально-игровое сообщество детей, объединенных игровыми правилами, действиями, стимулирующими двигательную активность детей, требующую от ребенка координации движений, самостоятельности в принятии решений и оптимальном выборе способов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2. Игровая модель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дошкольного образовательного учреждения, ориентированная на создание условий сбережения здоровья ребенка, на его компетенций в способах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здоровья, его эмоционально-оценочного отношения к здоровью, субъектно-поведенческого опыта детей в подвижных играх; Составляющими модели выступили подвижные игры, интегрированные во все виды жизнедеятельности ребенка, </w:t>
      </w:r>
      <w:r w:rsidRPr="00DE78C8">
        <w:rPr>
          <w:rFonts w:ascii="Times New Roman" w:hAnsi="Times New Roman" w:cs="Times New Roman"/>
          <w:sz w:val="24"/>
          <w:szCs w:val="24"/>
        </w:rPr>
        <w:lastRenderedPageBreak/>
        <w:t>диагностический и развивающий компоненты, предметно-пространственная среда, побуждающая ребенка к активности, содержательный контекст программы физического развития ребенка, включающий правила и ценности здоровья ребенка.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3. Принципы проектирования игровой модели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среды дошкольного образовательного учреждения, обеспечившие эффективность ее реализации:</w:t>
      </w:r>
      <w:r w:rsidRPr="00DE78C8">
        <w:rPr>
          <w:rFonts w:ascii="Times New Roman" w:hAnsi="Times New Roman" w:cs="Times New Roman"/>
          <w:sz w:val="24"/>
          <w:szCs w:val="24"/>
        </w:rPr>
        <w:br/>
        <w:t>-приоритета игровых интересов ребенка в субкультуре детства, где игра выступает не только ведущим видом деятельности, но и культурной ценностью, определяющей развитие ребенка и сбережение его здоровья;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-самосохранения 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личностью здоровья как доминантной ценности в жизни человека и показателя его психического, физического, социокультурного здоровья;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-педагогической поддержки индивидуальной траектории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ребенка в активной игровой среде;</w:t>
      </w:r>
      <w:r w:rsidRPr="00DE78C8">
        <w:rPr>
          <w:rFonts w:ascii="Times New Roman" w:hAnsi="Times New Roman" w:cs="Times New Roman"/>
          <w:sz w:val="24"/>
          <w:szCs w:val="24"/>
        </w:rPr>
        <w:br/>
        <w:t>-интеграции ценностей здоровья и правил игры в образовательное пространство дошкольного учреждения, создающего атмосферу эмоционально-психологического климата вокруг ребенка;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-свободы в выборе средств и способов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 ребенка в игровом пространстве дошкольного учреждения как условие развития устойчивого опыта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>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4. Теоретическое обоснование педагогического потенциала подвижной игры как субкультуры детства, объединяющее детей в единое социально-активное сообщество, как активное двигательное средство физического развития и приобретения ребенком субъектно-поведенческого опыта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здоровья. Принципами отбора игр выступили принципы ценностно-смысловой и нравственной направленности содержания игр; повышенной двигательной активности в содержательном контексте игр; интеграции ценностей и правил игры в содержание программ и игровую среду;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раскрывающий способы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отношений ребенка в игре, что усиливало эффективность игровой среды дошкольного учреждения.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5. Методы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ориентированные на накопление ребенком субъектно-поведенческого опыта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самосбережения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здоровья в активной двигательной среде, освоение правил взаимодействия в подвижной игре, регулирующих двигательную активность детей предупреждающих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травмаопасные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действия. Правила выступали в качестве ценностных ориентиров для детей в подвижных играх, а для воспитателя – педагогическими ориентирами при отборе соответствующих методов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ребенка.</w:t>
      </w:r>
      <w:r w:rsidRPr="00DE78C8">
        <w:rPr>
          <w:rFonts w:ascii="Times New Roman" w:hAnsi="Times New Roman" w:cs="Times New Roman"/>
          <w:sz w:val="24"/>
          <w:szCs w:val="24"/>
        </w:rPr>
        <w:br/>
        <w:t>Литература: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Ю. К. Проблема повышения эффективности педагогических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исследова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ний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Ю. К. – М., 1982.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Гадельшина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Т. Г. Методология и методы психологического исследования: учеб. метод. пособие /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Гадельшина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Т. Г. – Томск, 2002.</w:t>
      </w:r>
      <w:r w:rsidRPr="00DE78C8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, В. И. Методология и методика дидактических исследований / </w:t>
      </w:r>
      <w:proofErr w:type="spellStart"/>
      <w:r w:rsidRPr="00DE78C8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DE78C8">
        <w:rPr>
          <w:rFonts w:ascii="Times New Roman" w:hAnsi="Times New Roman" w:cs="Times New Roman"/>
          <w:sz w:val="24"/>
          <w:szCs w:val="24"/>
        </w:rPr>
        <w:t xml:space="preserve"> В. И. – М., 1982.</w:t>
      </w:r>
      <w:r w:rsidRPr="00DE78C8">
        <w:rPr>
          <w:rFonts w:ascii="Times New Roman" w:hAnsi="Times New Roman" w:cs="Times New Roman"/>
          <w:sz w:val="24"/>
          <w:szCs w:val="24"/>
        </w:rPr>
        <w:br/>
        <w:t>4. Корнилова, Т. В. Экспериментальная психология: теория и методы: учебник для вузов / Корнилова Т. В. – М.: Аспект Пресс, 2003.</w:t>
      </w:r>
    </w:p>
    <w:p w:rsidR="007D0006" w:rsidRPr="00DE78C8" w:rsidRDefault="007D0006" w:rsidP="00DE78C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D0006" w:rsidRPr="00DE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02"/>
    <w:rsid w:val="000251B2"/>
    <w:rsid w:val="007560C5"/>
    <w:rsid w:val="007D0006"/>
    <w:rsid w:val="00BC4602"/>
    <w:rsid w:val="00CD11F1"/>
    <w:rsid w:val="00D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3E6D-2171-47E4-A5B4-BDD777D6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0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3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6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81526971?q=%23%D0%BC%D0%B5%D1%82%D0%BE%D0%B4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81526971?q=%23%D0%BC%D0%B5%D1%82%D0%BE%D0%B4%D0%B8%D0%BA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www.intuit.ru%2Fstudies%2Fcourses%2F11980%2F1160%2Flecture%2F18284%3Fpage%3D5&amp;post=-81526971_1019&amp;cc_key=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wall-81526971?q=%23%D0%BC%D0%B5%D1%82%D0%BE%D0%B4%D1%8B_%D0%BF%D1%81%D0%B8%D1%85%D0%BE%D0%BB%D0%BE%D0%B3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5359</Words>
  <Characters>30551</Characters>
  <Application>Microsoft Office Word</Application>
  <DocSecurity>0</DocSecurity>
  <Lines>254</Lines>
  <Paragraphs>71</Paragraphs>
  <ScaleCrop>false</ScaleCrop>
  <Company/>
  <LinksUpToDate>false</LinksUpToDate>
  <CharactersWithSpaces>35839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5</cp:revision>
  <dcterms:created xsi:type="dcterms:W3CDTF">2024-10-31T17:58:00Z</dcterms:created>
  <dcterms:modified xsi:type="dcterms:W3CDTF">2024-10-31T18:21:00Z</dcterms:modified>
</cp:coreProperties>
</file>